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E1" w:rsidRDefault="00CD68E1" w:rsidP="00CD68E1">
      <w:pPr>
        <w:jc w:val="left"/>
        <w:rPr>
          <w:rFonts w:ascii="仿宋" w:eastAsia="仿宋" w:hAnsi="仿宋" w:cs="Times New Roman" w:hint="eastAsia"/>
          <w:b/>
          <w:sz w:val="32"/>
          <w:szCs w:val="32"/>
        </w:rPr>
      </w:pPr>
    </w:p>
    <w:p w:rsidR="00CD68E1" w:rsidRPr="00CD68E1" w:rsidRDefault="00CD68E1" w:rsidP="00CD68E1">
      <w:pPr>
        <w:jc w:val="left"/>
        <w:rPr>
          <w:rFonts w:ascii="仿宋" w:eastAsia="仿宋" w:hAnsi="仿宋" w:cs="方正黑体_GBK"/>
          <w:sz w:val="32"/>
          <w:szCs w:val="32"/>
        </w:rPr>
      </w:pPr>
      <w:r w:rsidRPr="00CD68E1">
        <w:rPr>
          <w:rFonts w:ascii="仿宋" w:eastAsia="仿宋" w:hAnsi="仿宋" w:cs="Times New Roman" w:hint="eastAsia"/>
          <w:b/>
          <w:sz w:val="32"/>
          <w:szCs w:val="32"/>
        </w:rPr>
        <w:t>附件5：</w:t>
      </w:r>
    </w:p>
    <w:p w:rsidR="00CD68E1" w:rsidRPr="00CD68E1" w:rsidRDefault="00CD68E1" w:rsidP="00CD68E1">
      <w:pPr>
        <w:spacing w:before="240" w:after="60"/>
        <w:jc w:val="center"/>
        <w:outlineLvl w:val="0"/>
        <w:rPr>
          <w:rFonts w:ascii="仿宋" w:eastAsia="仿宋" w:hAnsi="仿宋" w:cs="Times New Roman"/>
          <w:b/>
          <w:bCs/>
          <w:sz w:val="32"/>
          <w:szCs w:val="32"/>
        </w:rPr>
      </w:pPr>
      <w:bookmarkStart w:id="0" w:name="_GoBack"/>
      <w:r w:rsidRPr="00CD68E1">
        <w:rPr>
          <w:rFonts w:ascii="仿宋" w:eastAsia="仿宋" w:hAnsi="仿宋" w:cs="Times New Roman" w:hint="eastAsia"/>
          <w:b/>
          <w:bCs/>
          <w:sz w:val="32"/>
          <w:szCs w:val="32"/>
        </w:rPr>
        <w:t>PPT现场展示评分标准</w:t>
      </w:r>
      <w:bookmarkEnd w:id="0"/>
    </w:p>
    <w:tbl>
      <w:tblPr>
        <w:tblpPr w:leftFromText="180" w:rightFromText="180" w:vertAnchor="text" w:horzAnchor="margin" w:tblpY="17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8"/>
        <w:gridCol w:w="1445"/>
        <w:gridCol w:w="6743"/>
      </w:tblGrid>
      <w:tr w:rsidR="00CD68E1" w:rsidRPr="00CD68E1" w:rsidTr="00F96409">
        <w:trPr>
          <w:trHeight w:val="6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8E1" w:rsidRPr="00CD68E1" w:rsidRDefault="00CD68E1" w:rsidP="00CD68E1">
            <w:pPr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评分要素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8E1" w:rsidRPr="00CD68E1" w:rsidRDefault="00CD68E1" w:rsidP="00CD68E1">
            <w:pPr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评分要点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8E1" w:rsidRPr="00CD68E1" w:rsidRDefault="00CD68E1" w:rsidP="00CD68E1">
            <w:pPr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具体描述</w:t>
            </w:r>
          </w:p>
        </w:tc>
      </w:tr>
      <w:tr w:rsidR="00CD68E1" w:rsidRPr="00CD68E1" w:rsidTr="00F96409">
        <w:trPr>
          <w:trHeight w:val="1065"/>
        </w:trPr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8E1" w:rsidRPr="00CD68E1" w:rsidRDefault="00CD68E1" w:rsidP="00CD68E1">
            <w:pPr>
              <w:spacing w:line="3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主题陈述</w:t>
            </w:r>
          </w:p>
          <w:p w:rsidR="00CD68E1" w:rsidRPr="00CD68E1" w:rsidRDefault="00CD68E1" w:rsidP="00CD68E1">
            <w:pPr>
              <w:spacing w:line="3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（100分）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8E1" w:rsidRPr="00CD68E1" w:rsidRDefault="00CD68E1" w:rsidP="00CD68E1">
            <w:pPr>
              <w:spacing w:line="3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基本素养（20分）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8E1" w:rsidRPr="00CD68E1" w:rsidRDefault="00CD68E1" w:rsidP="00CD68E1">
            <w:pPr>
              <w:spacing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 w:rsidR="00CD68E1" w:rsidRPr="00CD68E1" w:rsidTr="00F96409">
        <w:trPr>
          <w:trHeight w:val="1065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2.言之有理，谈吐文雅，富于思想内涵</w:t>
            </w:r>
          </w:p>
        </w:tc>
      </w:tr>
      <w:tr w:rsidR="00CD68E1" w:rsidRPr="00CD68E1" w:rsidTr="00F96409">
        <w:trPr>
          <w:trHeight w:val="1065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bookmarkStart w:id="1" w:name="OLE_LINK1"/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3</w:t>
            </w:r>
            <w:bookmarkEnd w:id="1"/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.精神饱满，有信心，有独立见解，能充分展现大学生朝气蓬勃的精神风貌</w:t>
            </w:r>
          </w:p>
        </w:tc>
      </w:tr>
      <w:tr w:rsidR="00CD68E1" w:rsidRPr="00CD68E1" w:rsidTr="00F96409">
        <w:trPr>
          <w:trHeight w:val="1065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陈述内容</w:t>
            </w:r>
          </w:p>
          <w:p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（50分）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1.对职业规划的自我探索、职业探索、决策应对等环节的要素及分析过程陈述全面、客观、准确</w:t>
            </w:r>
          </w:p>
        </w:tc>
      </w:tr>
      <w:tr w:rsidR="00CD68E1" w:rsidRPr="00CD68E1" w:rsidTr="00F96409">
        <w:trPr>
          <w:trHeight w:val="1065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2.在陈述中能够正确理解、应用职业规划基本理论及各项辅助工具</w:t>
            </w:r>
          </w:p>
        </w:tc>
      </w:tr>
      <w:tr w:rsidR="00CD68E1" w:rsidRPr="00CD68E1" w:rsidTr="00F96409">
        <w:trPr>
          <w:trHeight w:val="1065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3.对</w:t>
            </w:r>
            <w:proofErr w:type="gramStart"/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各探索</w:t>
            </w:r>
            <w:proofErr w:type="gramEnd"/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分析过程及结果表述准确，且与作品吻合</w:t>
            </w:r>
          </w:p>
        </w:tc>
      </w:tr>
      <w:tr w:rsidR="00CD68E1" w:rsidRPr="00CD68E1" w:rsidTr="00F96409">
        <w:trPr>
          <w:trHeight w:val="1065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4.简明扼要，条理清晰，结论明确，能够准确提炼职业规划设计作品的主要内容</w:t>
            </w:r>
          </w:p>
        </w:tc>
      </w:tr>
      <w:tr w:rsidR="00CD68E1" w:rsidRPr="00CD68E1" w:rsidTr="00F96409">
        <w:trPr>
          <w:trHeight w:val="1065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即时效果</w:t>
            </w:r>
          </w:p>
          <w:p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（30分）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 w:rsidR="00CD68E1" w:rsidRPr="00CD68E1" w:rsidTr="00F96409">
        <w:trPr>
          <w:trHeight w:val="1081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2.有感染力，能吸引评委注意力，调动观众情绪</w:t>
            </w:r>
          </w:p>
        </w:tc>
      </w:tr>
    </w:tbl>
    <w:p w:rsidR="00CD68E1" w:rsidRPr="00CD68E1" w:rsidRDefault="00CD68E1" w:rsidP="00CD68E1">
      <w:pPr>
        <w:rPr>
          <w:rFonts w:ascii="仿宋" w:eastAsia="仿宋" w:hAnsi="仿宋" w:cs="Times New Roman"/>
        </w:rPr>
      </w:pPr>
    </w:p>
    <w:p w:rsidR="002B5327" w:rsidRPr="00CD68E1" w:rsidRDefault="002B5327"/>
    <w:sectPr w:rsidR="002B5327" w:rsidRPr="00CD68E1">
      <w:pgSz w:w="11906" w:h="16838" w:code="9"/>
      <w:pgMar w:top="1134" w:right="1134" w:bottom="1134" w:left="1134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E1"/>
    <w:rsid w:val="002B5327"/>
    <w:rsid w:val="00C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china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2021-03-25T01:25:00Z</dcterms:created>
  <dcterms:modified xsi:type="dcterms:W3CDTF">2021-03-25T01:26:00Z</dcterms:modified>
</cp:coreProperties>
</file>